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Rule="auto"/>
        <w:contextualSpacing w:val="0"/>
        <w:rPr>
          <w:rFonts w:ascii="Calibri" w:cs="Calibri" w:eastAsia="Calibri" w:hAnsi="Calibri"/>
        </w:rPr>
      </w:pPr>
      <w:r w:rsidDel="00000000" w:rsidR="00000000" w:rsidRPr="00000000">
        <w:rPr>
          <w:rFonts w:ascii="Calibri" w:cs="Calibri" w:eastAsia="Calibri" w:hAnsi="Calibri"/>
          <w:b w:val="1"/>
          <w:sz w:val="48"/>
          <w:szCs w:val="48"/>
          <w:u w:val="single"/>
          <w:rtl w:val="0"/>
        </w:rPr>
        <w:t xml:space="preserve">Shaping the City</w:t>
        <w:br w:type="textWrapping"/>
      </w:r>
      <w:r w:rsidDel="00000000" w:rsidR="00000000" w:rsidRPr="00000000">
        <w:rPr>
          <w:rFonts w:ascii="Calibri" w:cs="Calibri" w:eastAsia="Calibri" w:hAnsi="Calibri"/>
          <w:rtl w:val="0"/>
        </w:rPr>
        <w:t xml:space="preserve">A Forum for Sustainable Cities and Communities</w:t>
      </w:r>
    </w:p>
    <w:p w:rsidR="00000000" w:rsidDel="00000000" w:rsidP="00000000" w:rsidRDefault="00000000" w:rsidRPr="00000000" w14:paraId="00000001">
      <w:pPr>
        <w:spacing w:after="20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2">
      <w:pPr>
        <w:contextualSpacing w:val="0"/>
        <w:jc w:val="both"/>
        <w:rPr/>
      </w:pPr>
      <w:r w:rsidDel="00000000" w:rsidR="00000000" w:rsidRPr="00000000">
        <w:rPr>
          <w:rtl w:val="0"/>
        </w:rPr>
        <w:t xml:space="preserve">The European Cultural Centre for the Exhibition “Time-Space-Existence” is organizing its first conference under the title of: “</w:t>
      </w:r>
      <w:r w:rsidDel="00000000" w:rsidR="00000000" w:rsidRPr="00000000">
        <w:rPr>
          <w:i w:val="1"/>
          <w:rtl w:val="0"/>
        </w:rPr>
        <w:t xml:space="preserve">Shaping the City: A Forum for Sustainable Cities and Communities</w:t>
      </w:r>
      <w:r w:rsidDel="00000000" w:rsidR="00000000" w:rsidRPr="00000000">
        <w:rPr>
          <w:rtl w:val="0"/>
        </w:rPr>
        <w:t xml:space="preserve">”. It includes many architectural schools and universities from across the globe presented in TSE 2018 along with other international institutions and architecture studios. The conference is to be held over 2 days on the 12</w:t>
      </w:r>
      <w:r w:rsidDel="00000000" w:rsidR="00000000" w:rsidRPr="00000000">
        <w:rPr>
          <w:vertAlign w:val="superscript"/>
          <w:rtl w:val="0"/>
        </w:rPr>
        <w:t xml:space="preserve">th</w:t>
      </w:r>
      <w:r w:rsidDel="00000000" w:rsidR="00000000" w:rsidRPr="00000000">
        <w:rPr>
          <w:rtl w:val="0"/>
        </w:rPr>
        <w:t xml:space="preserve"> and 13</w:t>
      </w:r>
      <w:r w:rsidDel="00000000" w:rsidR="00000000" w:rsidRPr="00000000">
        <w:rPr>
          <w:vertAlign w:val="superscript"/>
          <w:rtl w:val="0"/>
        </w:rPr>
        <w:t xml:space="preserve">th</w:t>
      </w:r>
      <w:r w:rsidDel="00000000" w:rsidR="00000000" w:rsidRPr="00000000">
        <w:rPr>
          <w:rtl w:val="0"/>
        </w:rPr>
        <w:t xml:space="preserve"> of October 2018 in the prestigious auditorium of Fondazione Querini Stampalia in the heart of Venice with a lineup of speakers, panels, and different participants and guests.</w:t>
      </w:r>
    </w:p>
    <w:p w:rsidR="00000000" w:rsidDel="00000000" w:rsidP="00000000" w:rsidRDefault="00000000" w:rsidRPr="00000000" w14:paraId="00000003">
      <w:pPr>
        <w:contextualSpacing w:val="0"/>
        <w:jc w:val="both"/>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t xml:space="preserve">The conference aims to inspire the next frontier of research focused on the structure of cities, culture for sustainability, resilience, livable communities, and architectural developments and advancements. This forum is conceived to exchange about the urban future of cities from universities, practitioners, architects, and others. “Shaping the City”: A place where city changers meet and network with other passionate, innovative, inspiring professionals and researchers.</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Over the course of 2 days, four sub-themes will be addressed, each presented by a keynote speaker, discussed by a panel of experts, and elaborated through case studies.  </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t xml:space="preserve">Sub-themes for each panel include the following:</w:t>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numPr>
          <w:ilvl w:val="0"/>
          <w:numId w:val="1"/>
        </w:numPr>
        <w:ind w:left="720" w:hanging="360"/>
        <w:jc w:val="both"/>
        <w:rPr/>
      </w:pPr>
      <w:r w:rsidDel="00000000" w:rsidR="00000000" w:rsidRPr="00000000">
        <w:rPr>
          <w:rtl w:val="0"/>
        </w:rPr>
        <w:t xml:space="preserve">Built Environment and Architecture for the People</w:t>
      </w:r>
    </w:p>
    <w:p w:rsidR="00000000" w:rsidDel="00000000" w:rsidP="00000000" w:rsidRDefault="00000000" w:rsidRPr="00000000" w14:paraId="0000000B">
      <w:pPr>
        <w:numPr>
          <w:ilvl w:val="0"/>
          <w:numId w:val="1"/>
        </w:numPr>
        <w:ind w:left="720" w:hanging="360"/>
        <w:jc w:val="both"/>
        <w:rPr/>
      </w:pPr>
      <w:r w:rsidDel="00000000" w:rsidR="00000000" w:rsidRPr="00000000">
        <w:rPr>
          <w:rtl w:val="0"/>
        </w:rPr>
        <w:t xml:space="preserve">Urban Developments and Re-imagining the City</w:t>
      </w:r>
    </w:p>
    <w:p w:rsidR="00000000" w:rsidDel="00000000" w:rsidP="00000000" w:rsidRDefault="00000000" w:rsidRPr="00000000" w14:paraId="0000000C">
      <w:pPr>
        <w:numPr>
          <w:ilvl w:val="0"/>
          <w:numId w:val="1"/>
        </w:numPr>
        <w:ind w:left="720" w:hanging="360"/>
        <w:jc w:val="both"/>
        <w:rPr/>
      </w:pPr>
      <w:r w:rsidDel="00000000" w:rsidR="00000000" w:rsidRPr="00000000">
        <w:rPr>
          <w:rtl w:val="0"/>
        </w:rPr>
        <w:t xml:space="preserve">Innovation and Green Advancements</w:t>
      </w:r>
    </w:p>
    <w:p w:rsidR="00000000" w:rsidDel="00000000" w:rsidP="00000000" w:rsidRDefault="00000000" w:rsidRPr="00000000" w14:paraId="0000000D">
      <w:pPr>
        <w:numPr>
          <w:ilvl w:val="0"/>
          <w:numId w:val="1"/>
        </w:numPr>
        <w:ind w:left="720" w:hanging="360"/>
        <w:jc w:val="both"/>
        <w:rPr/>
      </w:pPr>
      <w:r w:rsidDel="00000000" w:rsidR="00000000" w:rsidRPr="00000000">
        <w:rPr>
          <w:rtl w:val="0"/>
        </w:rPr>
        <w:t xml:space="preserve">Culture for Sustainable Cities</w:t>
      </w:r>
    </w:p>
    <w:p w:rsidR="00000000" w:rsidDel="00000000" w:rsidP="00000000" w:rsidRDefault="00000000" w:rsidRPr="00000000" w14:paraId="0000000E">
      <w:pPr>
        <w:contextualSpacing w:val="0"/>
        <w:jc w:val="both"/>
        <w:rPr/>
      </w:pPr>
      <w:r w:rsidDel="00000000" w:rsidR="00000000" w:rsidRPr="00000000">
        <w:rPr>
          <w:rtl w:val="0"/>
        </w:rPr>
        <w:t xml:space="preserve"> </w:t>
      </w:r>
    </w:p>
    <w:p w:rsidR="00000000" w:rsidDel="00000000" w:rsidP="00000000" w:rsidRDefault="00000000" w:rsidRPr="00000000" w14:paraId="0000000F">
      <w:pPr>
        <w:contextualSpacing w:val="0"/>
        <w:jc w:val="both"/>
        <w:rPr>
          <w:b w:val="1"/>
          <w:u w:val="single"/>
        </w:rPr>
      </w:pPr>
      <w:r w:rsidDel="00000000" w:rsidR="00000000" w:rsidRPr="00000000">
        <w:rPr>
          <w:b w:val="1"/>
          <w:u w:val="single"/>
          <w:rtl w:val="0"/>
        </w:rPr>
        <w:t xml:space="preserve">Built Environment and Architecture for the people</w:t>
      </w:r>
    </w:p>
    <w:p w:rsidR="00000000" w:rsidDel="00000000" w:rsidP="00000000" w:rsidRDefault="00000000" w:rsidRPr="00000000" w14:paraId="00000010">
      <w:pPr>
        <w:contextualSpacing w:val="0"/>
        <w:jc w:val="both"/>
        <w:rPr/>
      </w:pPr>
      <w:r w:rsidDel="00000000" w:rsidR="00000000" w:rsidRPr="00000000">
        <w:rPr>
          <w:rtl w:val="0"/>
        </w:rPr>
        <w:t xml:space="preserve">This sub-theme addresses the current architectural situation in cities. It explains how the quality of the built environment has an impact on the lives of the people and how new architectural design plays a role in the social life of people. This sub-theme includes projects about social housing, slum upgrading, rehabilitation, reuse, and re-integrating deteriorating architecture into the urban fabric of the city and actively immerse the people.   </w:t>
      </w:r>
    </w:p>
    <w:p w:rsidR="00000000" w:rsidDel="00000000" w:rsidP="00000000" w:rsidRDefault="00000000" w:rsidRPr="00000000" w14:paraId="00000011">
      <w:pPr>
        <w:contextualSpacing w:val="0"/>
        <w:jc w:val="both"/>
        <w:rPr/>
      </w:pPr>
      <w:r w:rsidDel="00000000" w:rsidR="00000000" w:rsidRPr="00000000">
        <w:rPr>
          <w:rtl w:val="0"/>
        </w:rPr>
        <w:t xml:space="preserve"> </w:t>
      </w:r>
    </w:p>
    <w:p w:rsidR="00000000" w:rsidDel="00000000" w:rsidP="00000000" w:rsidRDefault="00000000" w:rsidRPr="00000000" w14:paraId="00000012">
      <w:pPr>
        <w:contextualSpacing w:val="0"/>
        <w:jc w:val="both"/>
        <w:rPr>
          <w:b w:val="1"/>
          <w:u w:val="single"/>
        </w:rPr>
      </w:pPr>
      <w:r w:rsidDel="00000000" w:rsidR="00000000" w:rsidRPr="00000000">
        <w:rPr>
          <w:b w:val="1"/>
          <w:u w:val="single"/>
          <w:rtl w:val="0"/>
        </w:rPr>
        <w:t xml:space="preserve">Urban Developments and Re-imagining the City</w:t>
      </w:r>
    </w:p>
    <w:p w:rsidR="00000000" w:rsidDel="00000000" w:rsidP="00000000" w:rsidRDefault="00000000" w:rsidRPr="00000000" w14:paraId="00000013">
      <w:pPr>
        <w:contextualSpacing w:val="0"/>
        <w:jc w:val="both"/>
        <w:rPr/>
      </w:pPr>
      <w:r w:rsidDel="00000000" w:rsidR="00000000" w:rsidRPr="00000000">
        <w:rPr>
          <w:rtl w:val="0"/>
        </w:rPr>
        <w:t xml:space="preserve">Half of humanity today lives in cities, and this number will continue to grow to reach 70% by 2030. Where 95% of urban expansions in the next decades will take place in developing countries; sub-theme 2 debates about how the urban future will look like, with respect to the  major issues that face humanity now. The goal is to enhance inclusive - sustainable urbanization, develop the capacity for participatory and integrated human settlement planning. Academics, professionals and humanitarians will be presenting urban examples and case studies of various cities across the globe.  </w:t>
      </w:r>
    </w:p>
    <w:p w:rsidR="00000000" w:rsidDel="00000000" w:rsidP="00000000" w:rsidRDefault="00000000" w:rsidRPr="00000000" w14:paraId="00000014">
      <w:pPr>
        <w:contextualSpacing w:val="0"/>
        <w:jc w:val="both"/>
        <w:rPr/>
      </w:pPr>
      <w:r w:rsidDel="00000000" w:rsidR="00000000" w:rsidRPr="00000000">
        <w:rPr>
          <w:rtl w:val="0"/>
        </w:rPr>
        <w:t xml:space="preserve"> </w:t>
      </w:r>
    </w:p>
    <w:p w:rsidR="00000000" w:rsidDel="00000000" w:rsidP="00000000" w:rsidRDefault="00000000" w:rsidRPr="00000000" w14:paraId="00000015">
      <w:pPr>
        <w:contextualSpacing w:val="0"/>
        <w:jc w:val="both"/>
        <w:rPr>
          <w:b w:val="1"/>
          <w:u w:val="single"/>
        </w:rPr>
      </w:pPr>
      <w:r w:rsidDel="00000000" w:rsidR="00000000" w:rsidRPr="00000000">
        <w:rPr>
          <w:b w:val="1"/>
          <w:u w:val="single"/>
          <w:rtl w:val="0"/>
        </w:rPr>
        <w:t xml:space="preserve">Innovation and Green Advancements</w:t>
      </w:r>
    </w:p>
    <w:p w:rsidR="00000000" w:rsidDel="00000000" w:rsidP="00000000" w:rsidRDefault="00000000" w:rsidRPr="00000000" w14:paraId="00000016">
      <w:pPr>
        <w:contextualSpacing w:val="0"/>
        <w:jc w:val="both"/>
        <w:rPr/>
      </w:pPr>
      <w:r w:rsidDel="00000000" w:rsidR="00000000" w:rsidRPr="00000000">
        <w:rPr>
          <w:rtl w:val="0"/>
        </w:rPr>
        <w:t xml:space="preserve">The third sub-theme explains how new developments and new technologies in architecture have an impact on the city. It tackles climate change, green architecture, eco-friendly approaches to create inclusive - sustainable environments able to meet the needs of the people and the planet in a new innovative way. As buildings and construction are responsible for the one of the world’s most significant gas and greenhouse emissions, this sub-theme tackles how architects and architecture schools across the world are directing their work to help save our precious Earth through new innovative solutions and green architectural advancements.</w:t>
      </w:r>
    </w:p>
    <w:p w:rsidR="00000000" w:rsidDel="00000000" w:rsidP="00000000" w:rsidRDefault="00000000" w:rsidRPr="00000000" w14:paraId="00000017">
      <w:pPr>
        <w:contextualSpacing w:val="0"/>
        <w:jc w:val="both"/>
        <w:rPr/>
      </w:pPr>
      <w:r w:rsidDel="00000000" w:rsidR="00000000" w:rsidRPr="00000000">
        <w:rPr>
          <w:rtl w:val="0"/>
        </w:rPr>
        <w:t xml:space="preserve"> </w:t>
      </w:r>
    </w:p>
    <w:p w:rsidR="00000000" w:rsidDel="00000000" w:rsidP="00000000" w:rsidRDefault="00000000" w:rsidRPr="00000000" w14:paraId="00000018">
      <w:pPr>
        <w:contextualSpacing w:val="0"/>
        <w:jc w:val="both"/>
        <w:rPr>
          <w:b w:val="1"/>
          <w:u w:val="single"/>
        </w:rPr>
      </w:pPr>
      <w:r w:rsidDel="00000000" w:rsidR="00000000" w:rsidRPr="00000000">
        <w:rPr>
          <w:b w:val="1"/>
          <w:u w:val="single"/>
          <w:rtl w:val="0"/>
        </w:rPr>
        <w:t xml:space="preserve">Culture for Sustainable Cities</w:t>
      </w:r>
    </w:p>
    <w:p w:rsidR="00000000" w:rsidDel="00000000" w:rsidP="00000000" w:rsidRDefault="00000000" w:rsidRPr="00000000" w14:paraId="00000019">
      <w:pPr>
        <w:contextualSpacing w:val="0"/>
        <w:jc w:val="both"/>
        <w:rPr/>
      </w:pPr>
      <w:r w:rsidDel="00000000" w:rsidR="00000000" w:rsidRPr="00000000">
        <w:rPr>
          <w:rtl w:val="0"/>
        </w:rPr>
        <w:t xml:space="preserve">As the world is evolving and developing rapidly, cities are thriving to cope with the existence of cultural edifices and projects to integrate it in the current urban environments. The last sub-theme discusses how cities are dealing with cultural heritage and World Heritage Projects across the world to preserve the city’s identity, culture, tradition and creative industries for the city’s revitalization. Presentations about the world’s cultural diversity will take place to promote and foster development and a cohesive sustainable city.  </w:t>
      </w:r>
    </w:p>
    <w:p w:rsidR="00000000" w:rsidDel="00000000" w:rsidP="00000000" w:rsidRDefault="00000000" w:rsidRPr="00000000" w14:paraId="0000001A">
      <w:pPr>
        <w:contextualSpacing w:val="0"/>
        <w:jc w:val="both"/>
        <w:rPr/>
      </w:pPr>
      <w:r w:rsidDel="00000000" w:rsidR="00000000" w:rsidRPr="00000000">
        <w:rPr>
          <w:rtl w:val="0"/>
        </w:rPr>
      </w:r>
    </w:p>
    <w:p w:rsidR="00000000" w:rsidDel="00000000" w:rsidP="00000000" w:rsidRDefault="00000000" w:rsidRPr="00000000" w14:paraId="0000001B">
      <w:pPr>
        <w:contextualSpacing w:val="0"/>
        <w:jc w:val="both"/>
        <w:rPr/>
      </w:pPr>
      <w:r w:rsidDel="00000000" w:rsidR="00000000" w:rsidRPr="00000000">
        <w:rPr>
          <w:rtl w:val="0"/>
        </w:rPr>
      </w:r>
    </w:p>
    <w:p w:rsidR="00000000" w:rsidDel="00000000" w:rsidP="00000000" w:rsidRDefault="00000000" w:rsidRPr="00000000" w14:paraId="0000001C">
      <w:pPr>
        <w:contextualSpacing w:val="0"/>
        <w:jc w:val="both"/>
        <w:rPr/>
      </w:pPr>
      <w:r w:rsidDel="00000000" w:rsidR="00000000" w:rsidRPr="00000000">
        <w:rPr>
          <w:rtl w:val="0"/>
        </w:rPr>
        <w:t xml:space="preserve">“</w:t>
      </w:r>
      <w:r w:rsidDel="00000000" w:rsidR="00000000" w:rsidRPr="00000000">
        <w:rPr>
          <w:i w:val="1"/>
          <w:rtl w:val="0"/>
        </w:rPr>
        <w:t xml:space="preserve">Shaping the City</w:t>
      </w:r>
      <w:r w:rsidDel="00000000" w:rsidR="00000000" w:rsidRPr="00000000">
        <w:rPr>
          <w:rtl w:val="0"/>
        </w:rPr>
        <w:t xml:space="preserve">” conference aims to present international approaches from academics, researchers, urban planners, and architects regarding cities and a low carbon future in order to make cities inclusive, safe, resilient, and sustainable. </w:t>
      </w: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br w:type="textWrapping"/>
        <w:t xml:space="preserve">#ShapingtheCityForum</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jc w:val="both"/>
        <w:rPr>
          <w:b w:val="1"/>
          <w:u w:val="single"/>
        </w:rPr>
      </w:pPr>
      <w:r w:rsidDel="00000000" w:rsidR="00000000" w:rsidRPr="00000000">
        <w:rPr>
          <w:b w:val="1"/>
          <w:u w:val="single"/>
          <w:rtl w:val="0"/>
        </w:rPr>
        <w:t xml:space="preserve">Contacts:</w:t>
      </w:r>
    </w:p>
    <w:p w:rsidR="00000000" w:rsidDel="00000000" w:rsidP="00000000" w:rsidRDefault="00000000" w:rsidRPr="00000000" w14:paraId="00000024">
      <w:pPr>
        <w:contextualSpacing w:val="0"/>
        <w:jc w:val="both"/>
        <w:rPr/>
      </w:pPr>
      <w:r w:rsidDel="00000000" w:rsidR="00000000" w:rsidRPr="00000000">
        <w:rPr>
          <w:rtl w:val="0"/>
        </w:rPr>
        <w:t xml:space="preserve">For more information and images, please contact our press office of the European Cultural Centre or the GAA Foundation:</w:t>
      </w:r>
    </w:p>
    <w:p w:rsidR="00000000" w:rsidDel="00000000" w:rsidP="00000000" w:rsidRDefault="00000000" w:rsidRPr="00000000" w14:paraId="00000025">
      <w:pPr>
        <w:contextualSpacing w:val="0"/>
        <w:jc w:val="both"/>
        <w:rPr/>
      </w:pPr>
      <w:r w:rsidDel="00000000" w:rsidR="00000000" w:rsidRPr="00000000">
        <w:rPr>
          <w:rtl w:val="0"/>
        </w:rPr>
      </w:r>
    </w:p>
    <w:p w:rsidR="00000000" w:rsidDel="00000000" w:rsidP="00000000" w:rsidRDefault="00000000" w:rsidRPr="00000000" w14:paraId="00000026">
      <w:pPr>
        <w:contextualSpacing w:val="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Lucia Pedrana:</w:t>
      </w:r>
    </w:p>
    <w:p w:rsidR="00000000" w:rsidDel="00000000" w:rsidP="00000000" w:rsidRDefault="00000000" w:rsidRPr="00000000" w14:paraId="00000027">
      <w:pPr>
        <w:contextualSpacing w:val="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Tel. +39 346 760 3386</w:t>
      </w:r>
    </w:p>
    <w:p w:rsidR="00000000" w:rsidDel="00000000" w:rsidP="00000000" w:rsidRDefault="00000000" w:rsidRPr="00000000" w14:paraId="00000028">
      <w:pPr>
        <w:contextualSpacing w:val="0"/>
        <w:jc w:val="both"/>
        <w:rPr>
          <w:rFonts w:ascii="Avenir" w:cs="Avenir" w:eastAsia="Avenir" w:hAnsi="Avenir"/>
          <w:sz w:val="20"/>
          <w:szCs w:val="20"/>
        </w:rPr>
      </w:pPr>
      <w:hyperlink r:id="rId6">
        <w:r w:rsidDel="00000000" w:rsidR="00000000" w:rsidRPr="00000000">
          <w:rPr>
            <w:rFonts w:ascii="Avenir" w:cs="Avenir" w:eastAsia="Avenir" w:hAnsi="Avenir"/>
            <w:color w:val="1155cc"/>
            <w:sz w:val="20"/>
            <w:szCs w:val="20"/>
            <w:u w:val="single"/>
            <w:rtl w:val="0"/>
          </w:rPr>
          <w:t xml:space="preserve">lucia@gaafoundation.org</w:t>
        </w:r>
      </w:hyperlink>
      <w:r w:rsidDel="00000000" w:rsidR="00000000" w:rsidRPr="00000000">
        <w:rPr>
          <w:rtl w:val="0"/>
        </w:rPr>
      </w:r>
    </w:p>
    <w:p w:rsidR="00000000" w:rsidDel="00000000" w:rsidP="00000000" w:rsidRDefault="00000000" w:rsidRPr="00000000" w14:paraId="00000029">
      <w:pPr>
        <w:contextualSpacing w:val="0"/>
        <w:jc w:val="both"/>
        <w:rPr>
          <w:rFonts w:ascii="Avenir" w:cs="Avenir" w:eastAsia="Avenir" w:hAnsi="Avenir"/>
          <w:sz w:val="20"/>
          <w:szCs w:val="20"/>
          <w:highlight w:val="white"/>
        </w:rPr>
      </w:pPr>
      <w:r w:rsidDel="00000000" w:rsidR="00000000" w:rsidRPr="00000000">
        <w:rPr>
          <w:rtl w:val="0"/>
        </w:rPr>
      </w:r>
    </w:p>
    <w:p w:rsidR="00000000" w:rsidDel="00000000" w:rsidP="00000000" w:rsidRDefault="00000000" w:rsidRPr="00000000" w14:paraId="0000002A">
      <w:pPr>
        <w:contextualSpacing w:val="0"/>
        <w:jc w:val="both"/>
        <w:rPr>
          <w:rFonts w:ascii="Avenir" w:cs="Avenir" w:eastAsia="Avenir" w:hAnsi="Avenir"/>
          <w:sz w:val="20"/>
          <w:szCs w:val="20"/>
          <w:highlight w:val="white"/>
        </w:rPr>
      </w:pPr>
      <w:r w:rsidDel="00000000" w:rsidR="00000000" w:rsidRPr="00000000">
        <w:rPr>
          <w:rFonts w:ascii="Avenir" w:cs="Avenir" w:eastAsia="Avenir" w:hAnsi="Avenir"/>
          <w:sz w:val="20"/>
          <w:szCs w:val="20"/>
          <w:highlight w:val="white"/>
          <w:rtl w:val="0"/>
        </w:rPr>
        <w:t xml:space="preserve">Hady El Hajj</w:t>
        <w:br w:type="textWrapping"/>
        <w:t xml:space="preserve">Tel. +39 329 735 8036</w:t>
        <w:br w:type="textWrapping"/>
      </w:r>
      <w:hyperlink r:id="rId7">
        <w:r w:rsidDel="00000000" w:rsidR="00000000" w:rsidRPr="00000000">
          <w:rPr>
            <w:rFonts w:ascii="Avenir" w:cs="Avenir" w:eastAsia="Avenir" w:hAnsi="Avenir"/>
            <w:color w:val="1155cc"/>
            <w:sz w:val="20"/>
            <w:szCs w:val="20"/>
            <w:highlight w:val="white"/>
            <w:u w:val="single"/>
            <w:rtl w:val="0"/>
          </w:rPr>
          <w:t xml:space="preserve">hady@gaafoundation.org</w:t>
        </w:r>
      </w:hyperlink>
      <w:r w:rsidDel="00000000" w:rsidR="00000000" w:rsidRPr="00000000">
        <w:rPr>
          <w:rtl w:val="0"/>
        </w:rPr>
      </w:r>
    </w:p>
    <w:p w:rsidR="00000000" w:rsidDel="00000000" w:rsidP="00000000" w:rsidRDefault="00000000" w:rsidRPr="00000000" w14:paraId="0000002B">
      <w:pPr>
        <w:contextualSpacing w:val="0"/>
        <w:jc w:val="both"/>
        <w:rPr>
          <w:rFonts w:ascii="Avenir" w:cs="Avenir" w:eastAsia="Avenir" w:hAnsi="Avenir"/>
          <w:sz w:val="20"/>
          <w:szCs w:val="20"/>
          <w:highlight w:val="white"/>
        </w:rPr>
      </w:pPr>
      <w:r w:rsidDel="00000000" w:rsidR="00000000" w:rsidRPr="00000000">
        <w:rPr>
          <w:rtl w:val="0"/>
        </w:rPr>
      </w:r>
    </w:p>
    <w:p w:rsidR="00000000" w:rsidDel="00000000" w:rsidP="00000000" w:rsidRDefault="00000000" w:rsidRPr="00000000" w14:paraId="0000002C">
      <w:pPr>
        <w:contextualSpacing w:val="0"/>
        <w:jc w:val="both"/>
        <w:rPr>
          <w:rFonts w:ascii="Avenir" w:cs="Avenir" w:eastAsia="Avenir" w:hAnsi="Avenir"/>
          <w:sz w:val="20"/>
          <w:szCs w:val="20"/>
          <w:highlight w:val="white"/>
        </w:rPr>
      </w:pPr>
      <w:r w:rsidDel="00000000" w:rsidR="00000000" w:rsidRPr="00000000">
        <w:rPr>
          <w:rFonts w:ascii="Avenir" w:cs="Avenir" w:eastAsia="Avenir" w:hAnsi="Avenir"/>
          <w:sz w:val="20"/>
          <w:szCs w:val="20"/>
          <w:highlight w:val="white"/>
          <w:rtl w:val="0"/>
        </w:rPr>
        <w:t xml:space="preserve">Ilaria Marcatelli</w:t>
        <w:br w:type="textWrapping"/>
        <w:t xml:space="preserve">Tel: +39 333 990 9595</w:t>
      </w:r>
    </w:p>
    <w:p w:rsidR="00000000" w:rsidDel="00000000" w:rsidP="00000000" w:rsidRDefault="00000000" w:rsidRPr="00000000" w14:paraId="0000002D">
      <w:pPr>
        <w:contextualSpacing w:val="0"/>
        <w:jc w:val="both"/>
        <w:rPr>
          <w:rFonts w:ascii="Avenir" w:cs="Avenir" w:eastAsia="Avenir" w:hAnsi="Avenir"/>
          <w:sz w:val="20"/>
          <w:szCs w:val="20"/>
          <w:highlight w:val="white"/>
        </w:rPr>
      </w:pPr>
      <w:hyperlink r:id="rId8">
        <w:r w:rsidDel="00000000" w:rsidR="00000000" w:rsidRPr="00000000">
          <w:rPr>
            <w:rFonts w:ascii="Avenir" w:cs="Avenir" w:eastAsia="Avenir" w:hAnsi="Avenir"/>
            <w:color w:val="1155cc"/>
            <w:sz w:val="20"/>
            <w:szCs w:val="20"/>
            <w:highlight w:val="white"/>
            <w:u w:val="single"/>
            <w:rtl w:val="0"/>
          </w:rPr>
          <w:t xml:space="preserve">ilaria@gaafoundation.org</w:t>
        </w:r>
      </w:hyperlink>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ucia@gaafoundation.org" TargetMode="External"/><Relationship Id="rId7" Type="http://schemas.openxmlformats.org/officeDocument/2006/relationships/hyperlink" Target="mailto:hady@gaafoundation.org" TargetMode="External"/><Relationship Id="rId8" Type="http://schemas.openxmlformats.org/officeDocument/2006/relationships/hyperlink" Target="mailto:ilaria@gaa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